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0ED483">
      <w:pPr>
        <w:jc w:val="center"/>
        <w:rPr>
          <w:rFonts w:ascii="Times New Roman" w:hAnsi="Times New Roman" w:eastAsia="宋体" w:cs="Times New Roman"/>
          <w:b/>
          <w:bCs/>
          <w:sz w:val="36"/>
          <w:szCs w:val="36"/>
        </w:rPr>
      </w:pPr>
      <w:bookmarkStart w:id="3" w:name="_GoBack"/>
      <w:bookmarkEnd w:id="3"/>
      <w:r>
        <w:rPr>
          <w:rFonts w:hint="eastAsia" w:ascii="黑体" w:hAnsi="黑体" w:eastAsia="黑体" w:cs="黑体"/>
          <w:b/>
          <w:bCs/>
          <w:sz w:val="36"/>
          <w:szCs w:val="36"/>
        </w:rPr>
        <w:t>海珠肉</w:t>
      </w:r>
    </w:p>
    <w:p w14:paraId="4356D813">
      <w:pPr>
        <w:jc w:val="center"/>
        <w:rPr>
          <w:rFonts w:ascii="黑体" w:hAnsi="黑体" w:eastAsia="黑体" w:cs="黑体"/>
          <w:sz w:val="24"/>
          <w:highlight w:val="none"/>
        </w:rPr>
      </w:pPr>
      <w:r>
        <w:rPr>
          <w:rFonts w:hint="eastAsia" w:ascii="黑体" w:hAnsi="黑体" w:eastAsia="黑体" w:cs="黑体"/>
          <w:sz w:val="24"/>
          <w:highlight w:val="none"/>
        </w:rPr>
        <w:t>Haizhurou</w:t>
      </w:r>
    </w:p>
    <w:p w14:paraId="734E4562">
      <w:pPr>
        <w:jc w:val="center"/>
        <w:rPr>
          <w:rFonts w:ascii="Times New Roman" w:hAnsi="Times New Roman" w:eastAsia="宋体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宋体" w:cs="Times New Roman"/>
          <w:b/>
          <w:bCs/>
          <w:sz w:val="28"/>
          <w:szCs w:val="28"/>
          <w:highlight w:val="none"/>
        </w:rPr>
        <w:t>P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highlight w:val="none"/>
        </w:rPr>
        <w:t>INCTAD</w:t>
      </w:r>
      <w:r>
        <w:rPr>
          <w:rFonts w:ascii="Times New Roman" w:hAnsi="Times New Roman" w:eastAsia="宋体" w:cs="Times New Roman"/>
          <w:b/>
          <w:bCs/>
          <w:sz w:val="28"/>
          <w:szCs w:val="28"/>
          <w:highlight w:val="none"/>
        </w:rPr>
        <w:t>AE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highlight w:val="none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b/>
          <w:bCs/>
          <w:sz w:val="28"/>
          <w:szCs w:val="28"/>
          <w:highlight w:val="none"/>
        </w:rPr>
        <w:t>MUSCULUS</w:t>
      </w:r>
    </w:p>
    <w:p w14:paraId="3088BE58">
      <w:pPr>
        <w:spacing w:line="360" w:lineRule="auto"/>
        <w:ind w:firstLine="480" w:firstLineChars="200"/>
        <w:rPr>
          <w:rFonts w:ascii="Times New Roman" w:hAnsi="Times New Roman" w:eastAsia="宋体" w:cs="Times New Roman"/>
          <w:bCs/>
          <w:kern w:val="0"/>
          <w:sz w:val="24"/>
          <w:highlight w:val="none"/>
        </w:rPr>
      </w:pPr>
      <w:r>
        <w:rPr>
          <w:rFonts w:ascii="Times New Roman" w:hAnsi="Times New Roman" w:eastAsia="宋体" w:cs="Times New Roman"/>
          <w:bCs/>
          <w:kern w:val="0"/>
          <w:sz w:val="24"/>
          <w:highlight w:val="none"/>
        </w:rPr>
        <w:t>本品为珍珠贝科动物合浦珠母贝</w:t>
      </w:r>
      <w:r>
        <w:rPr>
          <w:rFonts w:ascii="Times New Roman" w:hAnsi="Times New Roman" w:eastAsia="宋体" w:cs="Times New Roman"/>
          <w:bCs/>
          <w:i/>
          <w:kern w:val="0"/>
          <w:sz w:val="24"/>
          <w:highlight w:val="none"/>
        </w:rPr>
        <w:t xml:space="preserve">Pinctada fucata </w:t>
      </w:r>
      <w:r>
        <w:rPr>
          <w:rFonts w:ascii="Times New Roman" w:hAnsi="Times New Roman" w:eastAsia="宋体" w:cs="Times New Roman"/>
          <w:bCs/>
          <w:kern w:val="0"/>
          <w:sz w:val="24"/>
          <w:highlight w:val="none"/>
        </w:rPr>
        <w:t>(Dunker）的干燥软体部。全年均可采，去壳，取软体部，洗净，干燥。</w:t>
      </w:r>
    </w:p>
    <w:p w14:paraId="54D45EF0">
      <w:pPr>
        <w:spacing w:line="360" w:lineRule="auto"/>
        <w:ind w:firstLine="480" w:firstLineChars="200"/>
        <w:rPr>
          <w:rFonts w:ascii="Times New Roman" w:hAnsi="Times New Roman" w:eastAsia="宋体" w:cs="Times New Roman"/>
          <w:bCs/>
          <w:sz w:val="24"/>
        </w:rPr>
      </w:pPr>
      <w:r>
        <w:rPr>
          <w:rFonts w:ascii="Times New Roman" w:hAnsi="Times New Roman" w:eastAsia="黑体" w:cs="Times New Roman"/>
          <w:kern w:val="0"/>
          <w:sz w:val="24"/>
          <w:lang w:val="zh-CN"/>
        </w:rPr>
        <w:t>【</w:t>
      </w:r>
      <w:r>
        <w:rPr>
          <w:rFonts w:ascii="Times New Roman" w:hAnsi="Times New Roman" w:eastAsia="黑体" w:cs="Times New Roman"/>
          <w:kern w:val="0"/>
          <w:sz w:val="24"/>
        </w:rPr>
        <w:t>性状</w:t>
      </w:r>
      <w:r>
        <w:rPr>
          <w:rFonts w:ascii="Times New Roman" w:hAnsi="Times New Roman" w:eastAsia="黑体" w:cs="Times New Roman"/>
          <w:kern w:val="0"/>
          <w:sz w:val="24"/>
          <w:lang w:val="zh-CN"/>
        </w:rPr>
        <w:t>】</w:t>
      </w:r>
      <w:r>
        <w:rPr>
          <w:rFonts w:ascii="Times New Roman" w:hAnsi="Times New Roman" w:eastAsia="宋体" w:cs="Times New Roman"/>
          <w:bCs/>
          <w:kern w:val="0"/>
          <w:sz w:val="24"/>
        </w:rPr>
        <w:t>本品为不规则团块状，多皱缩，长1～4cm，宽1～2cm。表面棕黄色至棕褐色，部分呈黑褐色，凹凸不平，具不规则的纵皱纹或扭曲的纹理。质坚脆，易折断。</w:t>
      </w:r>
      <w:r>
        <w:rPr>
          <w:rFonts w:ascii="Times New Roman" w:hAnsi="Times New Roman" w:eastAsia="宋体" w:cs="Times New Roman"/>
          <w:sz w:val="24"/>
        </w:rPr>
        <w:t>气腥，味微咸。</w:t>
      </w:r>
    </w:p>
    <w:p w14:paraId="68BF5FA0">
      <w:pPr>
        <w:spacing w:line="360" w:lineRule="auto"/>
        <w:ind w:firstLine="480" w:firstLineChars="200"/>
        <w:rPr>
          <w:rStyle w:val="11"/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00"/>
          <w:sz w:val="24"/>
        </w:rPr>
        <w:t>【鉴别】</w:t>
      </w:r>
      <w:r>
        <w:rPr>
          <w:rStyle w:val="11"/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Style w:val="11"/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1</w:t>
      </w:r>
      <w:r>
        <w:rPr>
          <w:rStyle w:val="11"/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  <w:r>
        <w:rPr>
          <w:rStyle w:val="11"/>
          <w:rFonts w:ascii="Times New Roman" w:hAnsi="Times New Roman" w:cs="Times New Roman"/>
          <w:sz w:val="24"/>
          <w:szCs w:val="24"/>
        </w:rPr>
        <w:t>本品粉末</w:t>
      </w:r>
      <w:r>
        <w:rPr>
          <w:rFonts w:ascii="Times New Roman" w:hAnsi="Times New Roman" w:eastAsia="宋体" w:cs="Times New Roman"/>
          <w:sz w:val="24"/>
        </w:rPr>
        <w:t>呈黄色至</w:t>
      </w:r>
      <w:r>
        <w:rPr>
          <w:rFonts w:hint="eastAsia" w:ascii="Times New Roman" w:hAnsi="Times New Roman" w:eastAsia="宋体" w:cs="Times New Roman"/>
          <w:sz w:val="24"/>
        </w:rPr>
        <w:t>黄</w:t>
      </w:r>
      <w:r>
        <w:rPr>
          <w:rFonts w:ascii="Times New Roman" w:hAnsi="Times New Roman" w:eastAsia="宋体" w:cs="Times New Roman"/>
          <w:sz w:val="24"/>
        </w:rPr>
        <w:t>褐色。肌纤维细长，直径3～15μm，多碎断，散在或成束，无色至淡黄色；不规则色素块黄色至黄棕色；脂滴圆形或类圆形，黄色。</w:t>
      </w:r>
    </w:p>
    <w:p w14:paraId="0297D3CB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（</w:t>
      </w:r>
      <w:r>
        <w:rPr>
          <w:rFonts w:hint="eastAsia" w:ascii="Times New Roman" w:hAnsi="Times New Roman" w:eastAsia="宋体" w:cs="Times New Roman"/>
          <w:sz w:val="24"/>
        </w:rPr>
        <w:t>2</w:t>
      </w:r>
      <w:r>
        <w:rPr>
          <w:rFonts w:ascii="Times New Roman" w:hAnsi="Times New Roman" w:eastAsia="宋体" w:cs="Times New Roman"/>
          <w:sz w:val="24"/>
        </w:rPr>
        <w:t>）取本品粉末</w:t>
      </w:r>
      <w:bookmarkStart w:id="0" w:name="OLE_LINK18"/>
      <w:r>
        <w:rPr>
          <w:rFonts w:ascii="Times New Roman" w:hAnsi="Times New Roman" w:eastAsia="宋体" w:cs="Times New Roman"/>
          <w:sz w:val="24"/>
        </w:rPr>
        <w:t>0.5ɡ</w:t>
      </w:r>
      <w:bookmarkEnd w:id="0"/>
      <w:r>
        <w:rPr>
          <w:rFonts w:ascii="Times New Roman" w:hAnsi="Times New Roman" w:eastAsia="宋体" w:cs="Times New Roman"/>
          <w:sz w:val="24"/>
        </w:rPr>
        <w:t>，加70%乙醇10ml，超声处理30分钟，放冷，滤过，取滤液，作为供试品溶液。另取海珠肉对照药材0.5ɡ，同法制成对照药材溶液。再取牛磺酸对照品，加70%乙醇制成每1ml含1mg的溶液，作为对照品溶液。</w:t>
      </w:r>
      <w:r>
        <w:rPr>
          <w:rFonts w:ascii="Times New Roman" w:hAnsi="Times New Roman" w:cs="Times New Roman"/>
          <w:sz w:val="24"/>
        </w:rPr>
        <w:t>照薄层色谱法（《中国药典》2025年版</w:t>
      </w:r>
      <w:r>
        <w:rPr>
          <w:rFonts w:hint="eastAsia" w:ascii="Times New Roman" w:hAnsi="Times New Roman" w:cs="Times New Roman"/>
          <w:sz w:val="24"/>
          <w:lang w:eastAsia="zh-CN"/>
        </w:rPr>
        <w:t>四部</w:t>
      </w:r>
      <w:r>
        <w:rPr>
          <w:rFonts w:ascii="Times New Roman" w:hAnsi="Times New Roman" w:cs="Times New Roman"/>
          <w:sz w:val="24"/>
        </w:rPr>
        <w:t>通则0502）试验</w:t>
      </w:r>
      <w:r>
        <w:rPr>
          <w:rFonts w:ascii="Times New Roman" w:hAnsi="Times New Roman" w:eastAsia="宋体" w:cs="Times New Roman"/>
          <w:sz w:val="24"/>
        </w:rPr>
        <w:t>，吸取上述3种溶液各1</w:t>
      </w:r>
      <w:bookmarkStart w:id="1" w:name="OLE_LINK102"/>
      <w:r>
        <w:rPr>
          <w:rFonts w:ascii="Times New Roman" w:hAnsi="Times New Roman" w:eastAsia="宋体" w:cs="Times New Roman"/>
          <w:sz w:val="24"/>
        </w:rPr>
        <w:t>μ</w:t>
      </w:r>
      <w:bookmarkEnd w:id="1"/>
      <w:r>
        <w:rPr>
          <w:rFonts w:ascii="Times New Roman" w:hAnsi="Times New Roman" w:eastAsia="宋体" w:cs="Times New Roman"/>
          <w:sz w:val="24"/>
        </w:rPr>
        <w:t>l，</w:t>
      </w:r>
      <w:r>
        <w:rPr>
          <w:rFonts w:ascii="Times New Roman" w:hAnsi="Times New Roman" w:cs="Times New Roman"/>
          <w:sz w:val="24"/>
        </w:rPr>
        <w:t>分别点于同一硅胶G薄层板上，</w:t>
      </w:r>
      <w:r>
        <w:rPr>
          <w:rFonts w:ascii="Times New Roman" w:hAnsi="Times New Roman" w:eastAsia="宋体" w:cs="Times New Roman"/>
          <w:sz w:val="24"/>
        </w:rPr>
        <w:t>以正丁醇-甲醇-水（3:3:2）为展开剂</w:t>
      </w:r>
      <w:r>
        <w:rPr>
          <w:rFonts w:ascii="Times New Roman" w:hAnsi="Times New Roman" w:cs="Times New Roman"/>
          <w:sz w:val="24"/>
        </w:rPr>
        <w:t>，展开，取出，晾干，喷以</w:t>
      </w:r>
      <w:r>
        <w:rPr>
          <w:rFonts w:ascii="Times New Roman" w:hAnsi="Times New Roman" w:eastAsia="宋体" w:cs="Times New Roman"/>
          <w:kern w:val="0"/>
          <w:sz w:val="24"/>
        </w:rPr>
        <w:t>茚三酮试液</w:t>
      </w:r>
      <w:r>
        <w:rPr>
          <w:rFonts w:ascii="Times New Roman" w:hAnsi="Times New Roman" w:cs="Times New Roman"/>
          <w:sz w:val="24"/>
        </w:rPr>
        <w:t>，在105℃加热至斑点显色清晰。供试品色谱中，在与对照药材色谱和对照品色谱相应的位置上，显相同颜色的斑点。</w:t>
      </w:r>
    </w:p>
    <w:p w14:paraId="52E6D1DA"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 xml:space="preserve">【检查】水分 </w:t>
      </w:r>
      <w:r>
        <w:rPr>
          <w:rFonts w:ascii="Times New Roman" w:hAnsi="Times New Roman" w:eastAsia="宋体" w:cs="Times New Roman"/>
          <w:color w:val="000000"/>
          <w:sz w:val="24"/>
        </w:rPr>
        <w:t>不得过15.0%（</w:t>
      </w:r>
      <w:r>
        <w:rPr>
          <w:rFonts w:ascii="Times New Roman" w:hAnsi="Times New Roman" w:cs="Times New Roman"/>
          <w:sz w:val="24"/>
        </w:rPr>
        <w:t>《中国药典》</w:t>
      </w:r>
      <w:r>
        <w:rPr>
          <w:rFonts w:ascii="Times New Roman" w:hAnsi="Times New Roman" w:eastAsia="宋体" w:cs="Times New Roman"/>
          <w:color w:val="000000"/>
          <w:sz w:val="24"/>
        </w:rPr>
        <w:t>2025年版</w:t>
      </w:r>
      <w:r>
        <w:rPr>
          <w:rFonts w:ascii="Times New Roman" w:hAnsi="Times New Roman" w:cs="Times New Roman"/>
          <w:sz w:val="24"/>
        </w:rPr>
        <w:t>四部</w:t>
      </w:r>
      <w:r>
        <w:rPr>
          <w:rFonts w:ascii="Times New Roman" w:hAnsi="Times New Roman" w:eastAsia="宋体" w:cs="Times New Roman"/>
          <w:color w:val="000000"/>
          <w:sz w:val="24"/>
        </w:rPr>
        <w:t>通则0832第二法）。</w:t>
      </w:r>
    </w:p>
    <w:p w14:paraId="28882992"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 xml:space="preserve">总灰分 </w:t>
      </w:r>
      <w:r>
        <w:rPr>
          <w:rFonts w:ascii="Times New Roman" w:hAnsi="Times New Roman" w:eastAsia="宋体" w:cs="Times New Roman"/>
          <w:color w:val="000000"/>
          <w:sz w:val="24"/>
        </w:rPr>
        <w:t>不得过11.0%（</w:t>
      </w:r>
      <w:bookmarkStart w:id="2" w:name="OLE_LINK120"/>
      <w:r>
        <w:rPr>
          <w:rFonts w:ascii="Times New Roman" w:hAnsi="Times New Roman" w:cs="Times New Roman"/>
          <w:sz w:val="24"/>
        </w:rPr>
        <w:t>《中国药典》</w:t>
      </w:r>
      <w:r>
        <w:rPr>
          <w:rFonts w:ascii="Times New Roman" w:hAnsi="Times New Roman" w:eastAsia="宋体" w:cs="Times New Roman"/>
          <w:color w:val="000000"/>
          <w:sz w:val="24"/>
        </w:rPr>
        <w:t>2025年版</w:t>
      </w:r>
      <w:r>
        <w:rPr>
          <w:rFonts w:ascii="Times New Roman" w:hAnsi="Times New Roman" w:cs="Times New Roman"/>
          <w:sz w:val="24"/>
        </w:rPr>
        <w:t>四部</w:t>
      </w:r>
      <w:r>
        <w:rPr>
          <w:rFonts w:ascii="Times New Roman" w:hAnsi="Times New Roman" w:eastAsia="宋体" w:cs="Times New Roman"/>
          <w:color w:val="000000"/>
          <w:sz w:val="24"/>
        </w:rPr>
        <w:t>通则230</w:t>
      </w:r>
      <w:bookmarkEnd w:id="2"/>
      <w:r>
        <w:rPr>
          <w:rFonts w:ascii="Times New Roman" w:hAnsi="Times New Roman" w:eastAsia="宋体" w:cs="Times New Roman"/>
          <w:color w:val="000000"/>
          <w:sz w:val="24"/>
        </w:rPr>
        <w:t>2）。</w:t>
      </w:r>
    </w:p>
    <w:p w14:paraId="25B1F9E8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【浸出物】</w:t>
      </w:r>
      <w:r>
        <w:rPr>
          <w:rFonts w:ascii="Times New Roman" w:hAnsi="Times New Roman" w:eastAsia="宋体" w:cs="Times New Roman"/>
          <w:sz w:val="24"/>
        </w:rPr>
        <w:t>照水溶性浸出物测定法（《中国药典》2025年版</w:t>
      </w:r>
      <w:r>
        <w:rPr>
          <w:rFonts w:ascii="Times New Roman" w:hAnsi="Times New Roman" w:cs="Times New Roman"/>
          <w:sz w:val="24"/>
        </w:rPr>
        <w:t>四部</w:t>
      </w:r>
      <w:r>
        <w:rPr>
          <w:rFonts w:ascii="Times New Roman" w:hAnsi="Times New Roman" w:eastAsia="宋体" w:cs="Times New Roman"/>
          <w:sz w:val="24"/>
        </w:rPr>
        <w:t>通则2201）项下的热浸法测定，不得少于25.0%。</w:t>
      </w:r>
    </w:p>
    <w:p w14:paraId="0605B106">
      <w:pPr>
        <w:spacing w:line="360" w:lineRule="auto"/>
        <w:ind w:firstLine="480" w:firstLineChars="200"/>
        <w:rPr>
          <w:rFonts w:ascii="Times New Roman" w:hAnsi="Times New Roman" w:eastAsia="黑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【性味与归经】</w:t>
      </w:r>
      <w:r>
        <w:rPr>
          <w:rFonts w:hint="eastAsia"/>
          <w:sz w:val="24"/>
        </w:rPr>
        <w:t>甘、咸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</w:rPr>
        <w:t>凉。归</w:t>
      </w:r>
      <w:r>
        <w:rPr>
          <w:rFonts w:hint="eastAsia"/>
          <w:sz w:val="24"/>
          <w:lang w:val="en-US" w:eastAsia="zh-CN"/>
        </w:rPr>
        <w:t>心、</w:t>
      </w:r>
      <w:r>
        <w:rPr>
          <w:rFonts w:hint="eastAsia"/>
          <w:sz w:val="24"/>
        </w:rPr>
        <w:t>肝、肾经。</w:t>
      </w:r>
    </w:p>
    <w:p w14:paraId="7C885F57">
      <w:pPr>
        <w:pStyle w:val="3"/>
        <w:spacing w:line="360" w:lineRule="auto"/>
        <w:ind w:firstLine="480" w:firstLineChars="200"/>
        <w:rPr>
          <w:sz w:val="28"/>
          <w:szCs w:val="28"/>
        </w:rPr>
      </w:pPr>
      <w:r>
        <w:rPr>
          <w:rFonts w:ascii="Times New Roman" w:hAnsi="Times New Roman" w:eastAsia="黑体" w:cs="Times New Roman"/>
          <w:color w:val="000000"/>
          <w:sz w:val="24"/>
        </w:rPr>
        <w:t>【功能与主治】</w:t>
      </w:r>
      <w:r>
        <w:rPr>
          <w:rFonts w:hint="eastAsia"/>
          <w:sz w:val="24"/>
        </w:rPr>
        <w:t>滋阴清热，补血柔肝，养心安神，解</w:t>
      </w:r>
      <w:r>
        <w:rPr>
          <w:rFonts w:hint="eastAsia"/>
          <w:sz w:val="24"/>
          <w:lang w:val="en-US" w:eastAsia="zh-CN"/>
        </w:rPr>
        <w:t>酒</w:t>
      </w:r>
      <w:r>
        <w:rPr>
          <w:rFonts w:hint="eastAsia"/>
          <w:sz w:val="24"/>
        </w:rPr>
        <w:t>毒。用于五心烦热，消渴引饮，目赤涩痛，胸胁苦闷，心悸失眠，</w:t>
      </w:r>
      <w:r>
        <w:rPr>
          <w:rFonts w:hint="eastAsia"/>
          <w:sz w:val="24"/>
          <w:lang w:val="en-US" w:eastAsia="zh-CN"/>
        </w:rPr>
        <w:t>酒毒伤中</w:t>
      </w:r>
      <w:r>
        <w:rPr>
          <w:rFonts w:hint="eastAsia"/>
          <w:sz w:val="24"/>
        </w:rPr>
        <w:t>。</w:t>
      </w:r>
    </w:p>
    <w:p w14:paraId="29F4A605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【用法与用量】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  <w:lang w:val="en-US" w:eastAsia="zh-CN"/>
        </w:rPr>
        <w:t>15～30</w:t>
      </w:r>
      <w:r>
        <w:rPr>
          <w:rFonts w:ascii="Times New Roman" w:hAnsi="Times New Roman" w:eastAsia="宋体" w:cs="Times New Roman"/>
          <w:sz w:val="24"/>
          <w:highlight w:val="none"/>
        </w:rPr>
        <w:t>g</w:t>
      </w:r>
      <w:r>
        <w:rPr>
          <w:rFonts w:hint="eastAsia" w:ascii="Times New Roman" w:hAnsi="Times New Roman" w:eastAsia="宋体" w:cs="Times New Roman"/>
          <w:sz w:val="24"/>
          <w:highlight w:val="none"/>
        </w:rPr>
        <w:t>。</w:t>
      </w:r>
    </w:p>
    <w:p w14:paraId="1AFD6F3C"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</w:t>
      </w:r>
      <w:r>
        <w:rPr>
          <w:rFonts w:hint="eastAsia" w:ascii="Times New Roman" w:hAnsi="Times New Roman" w:eastAsia="黑体" w:cs="Times New Roman"/>
          <w:color w:val="000000"/>
          <w:sz w:val="24"/>
        </w:rPr>
        <w:t>注意</w:t>
      </w:r>
      <w:r>
        <w:rPr>
          <w:rFonts w:ascii="Times New Roman" w:hAnsi="Times New Roman" w:eastAsia="黑体" w:cs="Times New Roman"/>
          <w:color w:val="000000"/>
          <w:sz w:val="24"/>
        </w:rPr>
        <w:t>】</w:t>
      </w:r>
      <w:r>
        <w:rPr>
          <w:rFonts w:hint="eastAsia"/>
          <w:sz w:val="24"/>
        </w:rPr>
        <w:t>脾胃虚寒者慎服。</w:t>
      </w:r>
    </w:p>
    <w:p w14:paraId="52E3A627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【贮藏】</w:t>
      </w:r>
      <w:r>
        <w:rPr>
          <w:rFonts w:hint="eastAsia" w:ascii="Times New Roman" w:hAnsi="Calibri" w:eastAsia="宋体" w:cs="Times New Roman"/>
          <w:color w:val="000000"/>
          <w:sz w:val="24"/>
          <w:lang w:val="en-US" w:eastAsia="zh-CN"/>
        </w:rPr>
        <w:t>置阴凉干燥处。防潮，防霉，防蛀</w:t>
      </w:r>
      <w:r>
        <w:rPr>
          <w:rFonts w:ascii="Times New Roman" w:hAnsi="Calibri" w:eastAsia="宋体" w:cs="Times New Roman"/>
          <w:color w:val="000000"/>
          <w:sz w:val="24"/>
        </w:rPr>
        <w:t>。</w:t>
      </w:r>
      <w:r>
        <w:rPr>
          <w:rFonts w:hint="eastAsia" w:ascii="Times New Roman" w:hAnsi="Calibri" w:eastAsia="宋体" w:cs="Times New Roman"/>
          <w:color w:val="000000"/>
          <w:sz w:val="24"/>
          <w:lang w:val="en-US" w:eastAsia="zh-CN"/>
        </w:rPr>
        <w:t>长期保存在-18℃及以下</w:t>
      </w:r>
      <w:r>
        <w:rPr>
          <w:rFonts w:ascii="Times New Roman" w:hAnsi="Times New Roman" w:eastAsia="宋体" w:cs="Times New Roman"/>
          <w:sz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2D55F0"/>
    <w:rsid w:val="00024187"/>
    <w:rsid w:val="00184E33"/>
    <w:rsid w:val="001A61E3"/>
    <w:rsid w:val="00217753"/>
    <w:rsid w:val="0024590C"/>
    <w:rsid w:val="00267C33"/>
    <w:rsid w:val="002857BD"/>
    <w:rsid w:val="002A7564"/>
    <w:rsid w:val="002B07CF"/>
    <w:rsid w:val="003A6EA8"/>
    <w:rsid w:val="003E3658"/>
    <w:rsid w:val="00453CB3"/>
    <w:rsid w:val="004B3183"/>
    <w:rsid w:val="0052075D"/>
    <w:rsid w:val="0056671B"/>
    <w:rsid w:val="00581A74"/>
    <w:rsid w:val="00586177"/>
    <w:rsid w:val="005F7A63"/>
    <w:rsid w:val="00605913"/>
    <w:rsid w:val="007132D3"/>
    <w:rsid w:val="00715EC0"/>
    <w:rsid w:val="007866E7"/>
    <w:rsid w:val="00796025"/>
    <w:rsid w:val="007D160B"/>
    <w:rsid w:val="007E5D0E"/>
    <w:rsid w:val="008E45C7"/>
    <w:rsid w:val="00907F0B"/>
    <w:rsid w:val="00992DBD"/>
    <w:rsid w:val="00A62CF7"/>
    <w:rsid w:val="00A832BA"/>
    <w:rsid w:val="00AB29FC"/>
    <w:rsid w:val="00B1552A"/>
    <w:rsid w:val="00BA43C4"/>
    <w:rsid w:val="00BE105C"/>
    <w:rsid w:val="00C03CBA"/>
    <w:rsid w:val="00C06B32"/>
    <w:rsid w:val="00C53C3A"/>
    <w:rsid w:val="00CB3634"/>
    <w:rsid w:val="00CF4FB9"/>
    <w:rsid w:val="00D005C7"/>
    <w:rsid w:val="00DE7BA7"/>
    <w:rsid w:val="00DF0925"/>
    <w:rsid w:val="00E9177E"/>
    <w:rsid w:val="00F91D2C"/>
    <w:rsid w:val="00FE2CF3"/>
    <w:rsid w:val="0782145E"/>
    <w:rsid w:val="080F322D"/>
    <w:rsid w:val="0B015957"/>
    <w:rsid w:val="19AA6D6D"/>
    <w:rsid w:val="1F2D55F0"/>
    <w:rsid w:val="1FFB04C0"/>
    <w:rsid w:val="22833F45"/>
    <w:rsid w:val="267A724D"/>
    <w:rsid w:val="2C2417F8"/>
    <w:rsid w:val="2FF93442"/>
    <w:rsid w:val="387E3416"/>
    <w:rsid w:val="394777FA"/>
    <w:rsid w:val="3C8B5A78"/>
    <w:rsid w:val="3E9643F7"/>
    <w:rsid w:val="4698336A"/>
    <w:rsid w:val="514549D2"/>
    <w:rsid w:val="57670C0D"/>
    <w:rsid w:val="660E02F8"/>
    <w:rsid w:val="66E17E5D"/>
    <w:rsid w:val="7513507B"/>
    <w:rsid w:val="770D56CD"/>
    <w:rsid w:val="7ED30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unhideWhenUsed/>
    <w:qFormat/>
    <w:uiPriority w:val="35"/>
    <w:pPr>
      <w:widowControl/>
      <w:adjustRightInd w:val="0"/>
      <w:snapToGrid w:val="0"/>
      <w:spacing w:line="360" w:lineRule="auto"/>
      <w:jc w:val="center"/>
    </w:pPr>
    <w:rPr>
      <w:rFonts w:ascii="Times New Roman" w:hAnsi="Times New Roman" w:eastAsia="宋体" w:cstheme="majorBidi"/>
      <w:b/>
      <w:kern w:val="0"/>
      <w:szCs w:val="20"/>
    </w:rPr>
  </w:style>
  <w:style w:type="paragraph" w:styleId="3">
    <w:name w:val="annotation text"/>
    <w:basedOn w:val="1"/>
    <w:link w:val="16"/>
    <w:qFormat/>
    <w:uiPriority w:val="0"/>
    <w:pPr>
      <w:jc w:val="left"/>
    </w:pPr>
  </w:style>
  <w:style w:type="paragraph" w:styleId="4">
    <w:name w:val="Balloon Text"/>
    <w:basedOn w:val="1"/>
    <w:link w:val="18"/>
    <w:qFormat/>
    <w:uiPriority w:val="0"/>
    <w:rPr>
      <w:sz w:val="18"/>
      <w:szCs w:val="18"/>
    </w:rPr>
  </w:style>
  <w:style w:type="paragraph" w:styleId="5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7"/>
    <w:qFormat/>
    <w:uiPriority w:val="0"/>
    <w:rPr>
      <w:b/>
      <w:bCs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paragraph" w:styleId="12">
    <w:name w:val="List Paragraph"/>
    <w:basedOn w:val="1"/>
    <w:qFormat/>
    <w:uiPriority w:val="34"/>
    <w:pPr>
      <w:ind w:left="720"/>
      <w:contextualSpacing/>
    </w:pPr>
  </w:style>
  <w:style w:type="paragraph" w:customStyle="1" w:styleId="13">
    <w:name w:val="图注释"/>
    <w:basedOn w:val="1"/>
    <w:qFormat/>
    <w:uiPriority w:val="0"/>
    <w:pPr>
      <w:spacing w:line="360" w:lineRule="auto"/>
      <w:ind w:firstLine="480" w:firstLineChars="200"/>
      <w:jc w:val="center"/>
    </w:pPr>
    <w:rPr>
      <w:rFonts w:ascii="Times New Roman" w:hAnsi="Times New Roman" w:eastAsiaTheme="majorEastAsia"/>
      <w:szCs w:val="21"/>
    </w:rPr>
  </w:style>
  <w:style w:type="character" w:customStyle="1" w:styleId="14">
    <w:name w:val="页眉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5">
    <w:name w:val="页脚 Char"/>
    <w:basedOn w:val="10"/>
    <w:link w:val="5"/>
    <w:qFormat/>
    <w:uiPriority w:val="0"/>
    <w:rPr>
      <w:kern w:val="2"/>
      <w:sz w:val="18"/>
      <w:szCs w:val="18"/>
    </w:rPr>
  </w:style>
  <w:style w:type="character" w:customStyle="1" w:styleId="16">
    <w:name w:val="批注文字 Char"/>
    <w:basedOn w:val="10"/>
    <w:link w:val="3"/>
    <w:qFormat/>
    <w:uiPriority w:val="0"/>
    <w:rPr>
      <w:kern w:val="2"/>
      <w:sz w:val="21"/>
      <w:szCs w:val="24"/>
    </w:rPr>
  </w:style>
  <w:style w:type="character" w:customStyle="1" w:styleId="17">
    <w:name w:val="批注主题 Char"/>
    <w:basedOn w:val="16"/>
    <w:link w:val="7"/>
    <w:qFormat/>
    <w:uiPriority w:val="0"/>
    <w:rPr>
      <w:b/>
      <w:bCs/>
      <w:kern w:val="2"/>
      <w:sz w:val="21"/>
      <w:szCs w:val="24"/>
    </w:rPr>
  </w:style>
  <w:style w:type="character" w:customStyle="1" w:styleId="18">
    <w:name w:val="批注框文本 Char"/>
    <w:basedOn w:val="10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673</Words>
  <Characters>789</Characters>
  <Lines>6</Lines>
  <Paragraphs>1</Paragraphs>
  <TotalTime>1</TotalTime>
  <ScaleCrop>false</ScaleCrop>
  <LinksUpToDate>false</LinksUpToDate>
  <CharactersWithSpaces>794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2025-10-29T08:34:00Z</dcterms:created>
  <dc:creator>栀子</dc:creator>
  <cp:lastModifiedBy>木木</cp:lastModifiedBy>
  <cp:lastPrinted>2025-10-19T01:08:00Z</cp:lastPrinted>
  <dcterms:modified xsi:type="dcterms:W3CDTF">2025-11-22T03:35:08Z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CF99D9649E784B5D858AE6229A8F5AD9_13</vt:lpwstr>
  </property>
  <property fmtid="{D5CDD505-2E9C-101B-9397-08002B2CF9AE}" pid="4" name="KSOTemplateDocerSaveRecord">
    <vt:lpwstr>eyJoZGlkIjoiNTNhMjNhZmQxNjMyNjA2NzE5YjhmNDc2OTgzZGI1NWYiLCJ1c2VySWQiOiIxMDg4MzMyMTgxIn0=</vt:lpwstr>
  </property>
</Properties>
</file>